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579228" w14:textId="638ED15C" w:rsidR="002B5C7D" w:rsidRDefault="002B5C7D">
      <w:r w:rsidRPr="005C325D">
        <w:rPr>
          <w:rFonts w:ascii="Times New Roman" w:hAnsi="Times New Roman" w:cs="Times New Roman"/>
          <w:b/>
          <w:bCs/>
          <w:sz w:val="24"/>
          <w:szCs w:val="24"/>
        </w:rPr>
        <w:t>Figure S1</w:t>
      </w:r>
    </w:p>
    <w:p w14:paraId="2DA9CDE6" w14:textId="5F7C445D" w:rsidR="004535C7" w:rsidRDefault="002B5C7D">
      <w:r>
        <w:rPr>
          <w:noProof/>
        </w:rPr>
        <w:drawing>
          <wp:inline distT="0" distB="0" distL="0" distR="0" wp14:anchorId="04613F57" wp14:editId="6E0D64F0">
            <wp:extent cx="8637270" cy="39657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4969" cy="397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</w:t>
      </w:r>
    </w:p>
    <w:p w14:paraId="56E6E3DF" w14:textId="72C0B8B3" w:rsidR="002B5C7D" w:rsidRDefault="002B5C7D"/>
    <w:p w14:paraId="667AB14C" w14:textId="0BF09DA2" w:rsidR="002B5C7D" w:rsidRDefault="002B5C7D"/>
    <w:p w14:paraId="28DC0E58" w14:textId="1D1F0C2E" w:rsidR="002B5C7D" w:rsidRDefault="002B5C7D"/>
    <w:p w14:paraId="4B22FBC1" w14:textId="1820FA0D" w:rsidR="002B5C7D" w:rsidRDefault="002B5C7D"/>
    <w:p w14:paraId="44257D85" w14:textId="0473C195" w:rsidR="002B5C7D" w:rsidRDefault="002B5C7D">
      <w:r w:rsidRPr="005C325D">
        <w:rPr>
          <w:rFonts w:ascii="Times New Roman" w:hAnsi="Times New Roman" w:cs="Times New Roman"/>
          <w:b/>
          <w:bCs/>
          <w:sz w:val="24"/>
          <w:szCs w:val="24"/>
        </w:rPr>
        <w:lastRenderedPageBreak/>
        <w:t>Figure S2</w:t>
      </w:r>
    </w:p>
    <w:p w14:paraId="4391F227" w14:textId="0CF105DD" w:rsidR="002B5C7D" w:rsidRDefault="002B5C7D">
      <w:r>
        <w:rPr>
          <w:noProof/>
        </w:rPr>
        <w:drawing>
          <wp:inline distT="0" distB="0" distL="0" distR="0" wp14:anchorId="7E658030" wp14:editId="48660595">
            <wp:extent cx="8721897" cy="2769870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7963" cy="277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AB5DF" w14:textId="1D062BFE" w:rsidR="002B5C7D" w:rsidRDefault="002B5C7D"/>
    <w:p w14:paraId="10D27CAD" w14:textId="7605C4AC" w:rsidR="002B5C7D" w:rsidRDefault="002B5C7D"/>
    <w:p w14:paraId="5656F3CB" w14:textId="60D38F95" w:rsidR="002B5C7D" w:rsidRDefault="002B5C7D"/>
    <w:p w14:paraId="2F3822FE" w14:textId="17A33847" w:rsidR="002B5C7D" w:rsidRDefault="002B5C7D"/>
    <w:p w14:paraId="6BB2B2A3" w14:textId="417C15EB" w:rsidR="002B5C7D" w:rsidRDefault="002B5C7D"/>
    <w:p w14:paraId="5061B834" w14:textId="4FE488F1" w:rsidR="002B5C7D" w:rsidRDefault="002B5C7D"/>
    <w:p w14:paraId="0D666E87" w14:textId="2DAAF6E1" w:rsidR="002B5C7D" w:rsidRDefault="002B5C7D"/>
    <w:p w14:paraId="12CDD44E" w14:textId="7D568182" w:rsidR="002B5C7D" w:rsidRDefault="002B5C7D"/>
    <w:p w14:paraId="7AB35BDF" w14:textId="4DD87FC2" w:rsidR="002B5C7D" w:rsidRDefault="002B5C7D"/>
    <w:p w14:paraId="05AA1829" w14:textId="696D98D6" w:rsidR="002B5C7D" w:rsidRDefault="002B5C7D"/>
    <w:p w14:paraId="2C8D2F92" w14:textId="3F66C81C" w:rsidR="002B5C7D" w:rsidRDefault="002B5C7D"/>
    <w:p w14:paraId="6517AC5E" w14:textId="1D87FAC3" w:rsidR="002B5C7D" w:rsidRDefault="002B5C7D">
      <w:r w:rsidRPr="005C325D">
        <w:rPr>
          <w:rFonts w:ascii="Times New Roman" w:hAnsi="Times New Roman" w:cs="Times New Roman"/>
          <w:b/>
          <w:bCs/>
          <w:sz w:val="24"/>
          <w:szCs w:val="24"/>
        </w:rPr>
        <w:lastRenderedPageBreak/>
        <w:t>Figure S3</w:t>
      </w:r>
    </w:p>
    <w:p w14:paraId="2285E962" w14:textId="435636CF" w:rsidR="002B5C7D" w:rsidRDefault="002B5C7D">
      <w:r>
        <w:rPr>
          <w:noProof/>
        </w:rPr>
        <w:drawing>
          <wp:inline distT="0" distB="0" distL="0" distR="0" wp14:anchorId="2CB07CC9" wp14:editId="4904E2A6">
            <wp:extent cx="8253915" cy="344424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639" cy="344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1740C" w14:textId="0B357596" w:rsidR="002B5C7D" w:rsidRDefault="002B5C7D"/>
    <w:p w14:paraId="1CECB27E" w14:textId="3F884BB0" w:rsidR="002B5C7D" w:rsidRDefault="002B5C7D"/>
    <w:p w14:paraId="6ACC7674" w14:textId="40E91FF9" w:rsidR="002B5C7D" w:rsidRDefault="002B5C7D"/>
    <w:p w14:paraId="4A7C7995" w14:textId="24513913" w:rsidR="002B5C7D" w:rsidRDefault="002B5C7D"/>
    <w:p w14:paraId="5B074F9D" w14:textId="42861F57" w:rsidR="002B5C7D" w:rsidRDefault="002B5C7D"/>
    <w:p w14:paraId="2E6D1643" w14:textId="29FBD106" w:rsidR="002B5C7D" w:rsidRDefault="002B5C7D"/>
    <w:p w14:paraId="3C8E8E00" w14:textId="43EA6007" w:rsidR="002B5C7D" w:rsidRDefault="002B5C7D"/>
    <w:p w14:paraId="7D879B70" w14:textId="77777777" w:rsidR="002B5C7D" w:rsidRDefault="002B5C7D">
      <w:pPr>
        <w:sectPr w:rsidR="002B5C7D" w:rsidSect="002B5C7D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14:paraId="56631DA9" w14:textId="77777777" w:rsidR="002B5C7D" w:rsidRPr="005C325D" w:rsidRDefault="002B5C7D" w:rsidP="002B5C7D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C325D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Figure S1. Analysis of </w:t>
      </w:r>
      <w:r w:rsidRPr="003D637C">
        <w:rPr>
          <w:rFonts w:ascii="Times New Roman" w:hAnsi="Times New Roman" w:cs="Times New Roman"/>
          <w:b/>
          <w:bCs/>
          <w:sz w:val="24"/>
          <w:szCs w:val="24"/>
        </w:rPr>
        <w:t xml:space="preserve">stability </w:t>
      </w:r>
      <w:r w:rsidRPr="003D637C">
        <w:rPr>
          <w:rFonts w:ascii="Times New Roman" w:hAnsi="Times New Roman" w:cs="Times New Roman" w:hint="eastAsia"/>
          <w:b/>
          <w:bCs/>
          <w:sz w:val="24"/>
          <w:szCs w:val="24"/>
        </w:rPr>
        <w:t>and</w:t>
      </w:r>
      <w:r w:rsidRPr="003D637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b/>
          <w:bCs/>
          <w:sz w:val="24"/>
          <w:szCs w:val="24"/>
        </w:rPr>
        <w:t>ROS.</w:t>
      </w:r>
    </w:p>
    <w:p w14:paraId="3375AD8B" w14:textId="07FB6D60" w:rsidR="002B5C7D" w:rsidRPr="00FB7943" w:rsidRDefault="002B5C7D" w:rsidP="004B2CBF">
      <w:pPr>
        <w:pStyle w:val="a7"/>
        <w:numPr>
          <w:ilvl w:val="0"/>
          <w:numId w:val="1"/>
        </w:numPr>
        <w:spacing w:line="360" w:lineRule="auto"/>
        <w:ind w:left="0" w:firstLineChars="0" w:firstLine="0"/>
        <w:rPr>
          <w:rFonts w:ascii="Times New Roman" w:hAnsi="Times New Roman" w:cs="Times New Roman"/>
          <w:sz w:val="24"/>
          <w:szCs w:val="24"/>
        </w:rPr>
      </w:pPr>
      <w:r w:rsidRPr="004B2CBF">
        <w:rPr>
          <w:rFonts w:ascii="Times New Roman" w:hAnsi="Times New Roman" w:cs="Times New Roman"/>
          <w:sz w:val="24"/>
          <w:szCs w:val="24"/>
        </w:rPr>
        <w:t>The stability of RSL3@O2-ICG NBs and blank nanobubbles in concentration changes within 48 hours</w:t>
      </w:r>
      <w:r w:rsidRPr="004B2CBF">
        <w:rPr>
          <w:rFonts w:ascii="Times New Roman" w:hAnsi="Times New Roman" w:cs="Times New Roman" w:hint="eastAsia"/>
          <w:sz w:val="24"/>
          <w:szCs w:val="24"/>
        </w:rPr>
        <w:t>.</w:t>
      </w:r>
      <w:r w:rsidRPr="004B2CBF">
        <w:rPr>
          <w:rFonts w:ascii="Times New Roman" w:hAnsi="Times New Roman" w:cs="Times New Roman"/>
          <w:sz w:val="24"/>
          <w:szCs w:val="24"/>
        </w:rPr>
        <w:t xml:space="preserve"> (B, C) Relative cell viability with increasing ICG concentration after SDT treatment. (D)</w:t>
      </w:r>
      <w:r w:rsidR="004B2CBF" w:rsidRPr="004B2CBF">
        <w:rPr>
          <w:rFonts w:ascii="Times New Roman" w:hAnsi="Times New Roman" w:cs="Times New Roman"/>
          <w:sz w:val="24"/>
          <w:szCs w:val="24"/>
        </w:rPr>
        <w:t xml:space="preserve"> T</w:t>
      </w:r>
      <w:r w:rsidR="004B2CBF" w:rsidRPr="004B2CBF">
        <w:rPr>
          <w:rFonts w:ascii="Times New Roman" w:hAnsi="Times New Roman" w:cs="Times New Roman" w:hint="eastAsia"/>
          <w:sz w:val="24"/>
          <w:szCs w:val="24"/>
        </w:rPr>
        <w:t>he</w:t>
      </w:r>
      <w:r w:rsidR="004B2CBF" w:rsidRPr="004B2CBF">
        <w:rPr>
          <w:rFonts w:ascii="Times New Roman" w:hAnsi="Times New Roman" w:cs="Times New Roman"/>
          <w:sz w:val="24"/>
          <w:szCs w:val="24"/>
        </w:rPr>
        <w:t xml:space="preserve"> </w:t>
      </w:r>
      <w:r w:rsidR="004B2CBF" w:rsidRPr="004B2CBF">
        <w:rPr>
          <w:rFonts w:ascii="Times New Roman" w:hAnsi="Times New Roman" w:cs="Times New Roman"/>
          <w:sz w:val="24"/>
          <w:szCs w:val="24"/>
        </w:rPr>
        <w:t>cell</w:t>
      </w:r>
      <w:r w:rsidR="004B2CBF" w:rsidRPr="004B2CBF">
        <w:rPr>
          <w:rFonts w:ascii="Times New Roman" w:hAnsi="Times New Roman" w:cs="Times New Roman"/>
          <w:sz w:val="24"/>
          <w:szCs w:val="24"/>
        </w:rPr>
        <w:t xml:space="preserve"> </w:t>
      </w:r>
      <w:r w:rsidR="004B2CBF" w:rsidRPr="004B2CBF">
        <w:rPr>
          <w:rFonts w:ascii="Times New Roman" w:hAnsi="Times New Roman" w:cs="Times New Roman"/>
          <w:sz w:val="24"/>
          <w:szCs w:val="24"/>
        </w:rPr>
        <w:t>viability</w:t>
      </w:r>
      <w:r w:rsidR="004B2CBF" w:rsidRPr="004B2CBF">
        <w:rPr>
          <w:rFonts w:ascii="Times New Roman" w:hAnsi="Times New Roman" w:cs="Times New Roman"/>
          <w:sz w:val="24"/>
          <w:szCs w:val="24"/>
        </w:rPr>
        <w:t xml:space="preserve"> </w:t>
      </w:r>
      <w:r w:rsidR="004B2CBF" w:rsidRPr="004B2CBF">
        <w:rPr>
          <w:rFonts w:ascii="Times New Roman" w:hAnsi="Times New Roman" w:cs="Times New Roman"/>
          <w:sz w:val="24"/>
          <w:szCs w:val="24"/>
        </w:rPr>
        <w:t>analysis</w:t>
      </w:r>
      <w:r w:rsidR="004B2CBF">
        <w:rPr>
          <w:rFonts w:ascii="Times New Roman" w:hAnsi="Times New Roman" w:cs="Times New Roman"/>
          <w:sz w:val="24"/>
          <w:szCs w:val="24"/>
        </w:rPr>
        <w:t xml:space="preserve"> of WRL68 after </w:t>
      </w:r>
      <w:r w:rsidR="004B2CBF" w:rsidRPr="004B2CBF">
        <w:rPr>
          <w:rFonts w:ascii="Times New Roman" w:hAnsi="Times New Roman" w:cs="Times New Roman"/>
          <w:sz w:val="24"/>
          <w:szCs w:val="24"/>
        </w:rPr>
        <w:t>incubat</w:t>
      </w:r>
      <w:r w:rsidR="004B2CBF">
        <w:rPr>
          <w:rFonts w:ascii="Times New Roman" w:hAnsi="Times New Roman" w:cs="Times New Roman"/>
          <w:sz w:val="24"/>
          <w:szCs w:val="24"/>
        </w:rPr>
        <w:t>ing</w:t>
      </w:r>
      <w:r w:rsidR="004B2CBF" w:rsidRPr="004B2CBF">
        <w:rPr>
          <w:rFonts w:ascii="Times New Roman" w:hAnsi="Times New Roman" w:cs="Times New Roman"/>
          <w:sz w:val="24"/>
          <w:szCs w:val="24"/>
        </w:rPr>
        <w:t xml:space="preserve"> </w:t>
      </w:r>
      <w:r w:rsidR="004B2CBF">
        <w:rPr>
          <w:rFonts w:ascii="Times New Roman" w:hAnsi="Times New Roman" w:cs="Times New Roman"/>
          <w:sz w:val="24"/>
          <w:szCs w:val="24"/>
        </w:rPr>
        <w:t xml:space="preserve">with </w:t>
      </w:r>
      <w:r w:rsidR="004B2CBF" w:rsidRPr="004B2CBF">
        <w:rPr>
          <w:rFonts w:ascii="Times New Roman" w:hAnsi="Times New Roman" w:cs="Times New Roman"/>
          <w:sz w:val="24"/>
          <w:szCs w:val="24"/>
        </w:rPr>
        <w:t>ICG</w:t>
      </w:r>
      <w:r w:rsidR="00FB7943">
        <w:rPr>
          <w:rFonts w:ascii="Times New Roman" w:hAnsi="Times New Roman" w:cs="Times New Roman"/>
          <w:sz w:val="24"/>
          <w:szCs w:val="24"/>
        </w:rPr>
        <w:t>.</w:t>
      </w:r>
      <w:r w:rsidR="004B2CBF" w:rsidRPr="004B2CBF">
        <w:rPr>
          <w:rFonts w:ascii="Times New Roman" w:hAnsi="Times New Roman" w:cs="Times New Roman"/>
          <w:sz w:val="24"/>
          <w:szCs w:val="24"/>
        </w:rPr>
        <w:t xml:space="preserve"> </w:t>
      </w:r>
      <w:r w:rsidR="00FB794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4B2CBF" w:rsidRPr="00FB7943">
        <w:rPr>
          <w:rFonts w:ascii="Times New Roman" w:hAnsi="Times New Roman" w:cs="Times New Roman"/>
          <w:sz w:val="24"/>
          <w:szCs w:val="24"/>
        </w:rPr>
        <w:t>(E)</w:t>
      </w:r>
      <w:r w:rsidR="00FB7943">
        <w:rPr>
          <w:rFonts w:ascii="Times New Roman" w:hAnsi="Times New Roman" w:cs="Times New Roman"/>
          <w:sz w:val="24"/>
          <w:szCs w:val="24"/>
        </w:rPr>
        <w:t xml:space="preserve"> </w:t>
      </w:r>
      <w:r w:rsidR="00FB7943" w:rsidRPr="004B2CBF">
        <w:rPr>
          <w:rFonts w:ascii="Times New Roman" w:hAnsi="Times New Roman" w:cs="Times New Roman"/>
          <w:sz w:val="24"/>
          <w:szCs w:val="24"/>
        </w:rPr>
        <w:t>T</w:t>
      </w:r>
      <w:r w:rsidR="00FB7943" w:rsidRPr="004B2CBF">
        <w:rPr>
          <w:rFonts w:ascii="Times New Roman" w:hAnsi="Times New Roman" w:cs="Times New Roman" w:hint="eastAsia"/>
          <w:sz w:val="24"/>
          <w:szCs w:val="24"/>
        </w:rPr>
        <w:t>he</w:t>
      </w:r>
      <w:r w:rsidR="00FB7943" w:rsidRPr="004B2CBF">
        <w:rPr>
          <w:rFonts w:ascii="Times New Roman" w:hAnsi="Times New Roman" w:cs="Times New Roman"/>
          <w:sz w:val="24"/>
          <w:szCs w:val="24"/>
        </w:rPr>
        <w:t xml:space="preserve"> cell viability analysis</w:t>
      </w:r>
      <w:r w:rsidR="00FB7943">
        <w:rPr>
          <w:rFonts w:ascii="Times New Roman" w:hAnsi="Times New Roman" w:cs="Times New Roman"/>
          <w:sz w:val="24"/>
          <w:szCs w:val="24"/>
        </w:rPr>
        <w:t xml:space="preserve"> of WRL68 after </w:t>
      </w:r>
      <w:r w:rsidR="00FB7943" w:rsidRPr="004B2CBF">
        <w:rPr>
          <w:rFonts w:ascii="Times New Roman" w:hAnsi="Times New Roman" w:cs="Times New Roman"/>
          <w:sz w:val="24"/>
          <w:szCs w:val="24"/>
        </w:rPr>
        <w:t>incubat</w:t>
      </w:r>
      <w:r w:rsidR="00FB7943">
        <w:rPr>
          <w:rFonts w:ascii="Times New Roman" w:hAnsi="Times New Roman" w:cs="Times New Roman"/>
          <w:sz w:val="24"/>
          <w:szCs w:val="24"/>
        </w:rPr>
        <w:t>ing</w:t>
      </w:r>
      <w:r w:rsidR="00FB7943" w:rsidRPr="004B2CBF">
        <w:rPr>
          <w:rFonts w:ascii="Times New Roman" w:hAnsi="Times New Roman" w:cs="Times New Roman"/>
          <w:sz w:val="24"/>
          <w:szCs w:val="24"/>
        </w:rPr>
        <w:t xml:space="preserve"> </w:t>
      </w:r>
      <w:r w:rsidR="00FB7943">
        <w:rPr>
          <w:rFonts w:ascii="Times New Roman" w:hAnsi="Times New Roman" w:cs="Times New Roman"/>
          <w:sz w:val="24"/>
          <w:szCs w:val="24"/>
        </w:rPr>
        <w:t>with</w:t>
      </w:r>
      <w:r w:rsidR="00FB7943">
        <w:rPr>
          <w:rFonts w:ascii="Times New Roman" w:hAnsi="Times New Roman" w:cs="Times New Roman"/>
          <w:sz w:val="24"/>
          <w:szCs w:val="24"/>
        </w:rPr>
        <w:t xml:space="preserve"> RSL3.</w:t>
      </w:r>
      <w:r w:rsidR="00FB794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4B2CBF" w:rsidRPr="00FB7943">
        <w:rPr>
          <w:rFonts w:ascii="Times New Roman" w:hAnsi="Times New Roman" w:cs="Times New Roman"/>
          <w:sz w:val="24"/>
          <w:szCs w:val="24"/>
        </w:rPr>
        <w:t>(</w:t>
      </w:r>
      <w:r w:rsidR="004B2CBF" w:rsidRPr="00FB7943">
        <w:rPr>
          <w:rFonts w:ascii="Times New Roman" w:hAnsi="Times New Roman" w:cs="Times New Roman"/>
          <w:sz w:val="24"/>
          <w:szCs w:val="24"/>
        </w:rPr>
        <w:t>F</w:t>
      </w:r>
      <w:r w:rsidR="004B2CBF" w:rsidRPr="00FB7943">
        <w:rPr>
          <w:rFonts w:ascii="Times New Roman" w:hAnsi="Times New Roman" w:cs="Times New Roman"/>
          <w:sz w:val="24"/>
          <w:szCs w:val="24"/>
        </w:rPr>
        <w:t xml:space="preserve">, </w:t>
      </w:r>
      <w:r w:rsidR="004B2CBF" w:rsidRPr="00FB7943">
        <w:rPr>
          <w:rFonts w:ascii="Times New Roman" w:hAnsi="Times New Roman" w:cs="Times New Roman"/>
          <w:sz w:val="24"/>
          <w:szCs w:val="24"/>
        </w:rPr>
        <w:t>G</w:t>
      </w:r>
      <w:r w:rsidR="004B2CBF" w:rsidRPr="00FB7943">
        <w:rPr>
          <w:rFonts w:ascii="Times New Roman" w:hAnsi="Times New Roman" w:cs="Times New Roman"/>
          <w:sz w:val="24"/>
          <w:szCs w:val="24"/>
        </w:rPr>
        <w:t>)</w:t>
      </w:r>
      <w:r w:rsidRPr="00FB7943">
        <w:rPr>
          <w:rFonts w:ascii="Times New Roman" w:hAnsi="Times New Roman" w:cs="Times New Roman"/>
          <w:sz w:val="24"/>
          <w:szCs w:val="24"/>
        </w:rPr>
        <w:t xml:space="preserve"> </w:t>
      </w:r>
      <w:r w:rsidR="004B2CBF" w:rsidRPr="00FB7943">
        <w:rPr>
          <w:rFonts w:ascii="Times New Roman" w:hAnsi="Times New Roman" w:cs="Times New Roman"/>
          <w:sz w:val="24"/>
          <w:szCs w:val="24"/>
        </w:rPr>
        <w:t>F</w:t>
      </w:r>
      <w:r w:rsidRPr="00FB7943">
        <w:rPr>
          <w:rFonts w:ascii="Times New Roman" w:hAnsi="Times New Roman" w:cs="Times New Roman"/>
          <w:sz w:val="24"/>
          <w:szCs w:val="24"/>
        </w:rPr>
        <w:t>low cytometry analyses of intracellular ROS generation as indicated by DCFH-DA detection after receiving different treatments as indicated</w:t>
      </w:r>
      <w:r w:rsidR="002C17CA" w:rsidRPr="00FB7943">
        <w:rPr>
          <w:rFonts w:ascii="Times New Roman" w:hAnsi="Times New Roman" w:cs="Times New Roman"/>
          <w:sz w:val="24"/>
          <w:szCs w:val="24"/>
        </w:rPr>
        <w:t xml:space="preserve">. </w:t>
      </w:r>
      <w:r w:rsidR="009E4880" w:rsidRPr="00FB7943">
        <w:rPr>
          <w:rFonts w:ascii="Times New Roman" w:hAnsi="Times New Roman" w:cs="Times New Roman"/>
          <w:sz w:val="24"/>
          <w:szCs w:val="24"/>
        </w:rPr>
        <w:t xml:space="preserve">*P&lt;0.05, **P&lt;0.01. </w:t>
      </w:r>
    </w:p>
    <w:p w14:paraId="448F7C78" w14:textId="77777777" w:rsidR="002B5C7D" w:rsidRPr="005C325D" w:rsidRDefault="002B5C7D" w:rsidP="002B5C7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A6F2AA" w14:textId="1FEC4933" w:rsidR="002B5C7D" w:rsidRPr="005C325D" w:rsidRDefault="002B5C7D" w:rsidP="002B5C7D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C325D">
        <w:rPr>
          <w:rFonts w:ascii="Times New Roman" w:hAnsi="Times New Roman" w:cs="Times New Roman"/>
          <w:b/>
          <w:bCs/>
          <w:sz w:val="24"/>
          <w:szCs w:val="24"/>
        </w:rPr>
        <w:t>Figure S2. The function of RSL3@O2-ICG NBs in ferroptosis</w:t>
      </w:r>
      <w:r w:rsidR="00B478E4">
        <w:rPr>
          <w:rFonts w:ascii="Times New Roman" w:hAnsi="Times New Roman" w:cs="Times New Roman"/>
          <w:b/>
          <w:bCs/>
          <w:sz w:val="24"/>
          <w:szCs w:val="24"/>
        </w:rPr>
        <w:t xml:space="preserve"> (A-B)</w:t>
      </w:r>
      <w:r w:rsidRPr="005C325D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52B85340" w14:textId="1222CA8E" w:rsidR="002B5C7D" w:rsidRPr="005C325D" w:rsidRDefault="002B5C7D" w:rsidP="002B5C7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C325D">
        <w:rPr>
          <w:rFonts w:ascii="Times New Roman" w:hAnsi="Times New Roman" w:cs="Times New Roman"/>
          <w:sz w:val="24"/>
          <w:szCs w:val="24"/>
        </w:rPr>
        <w:t>The cell viability after treatment with different concentrations of RSL3 alone and SDT combined with RSL</w:t>
      </w:r>
      <w:r w:rsidR="00B478E4">
        <w:rPr>
          <w:rFonts w:ascii="Times New Roman" w:hAnsi="Times New Roman" w:cs="Times New Roman"/>
          <w:sz w:val="24"/>
          <w:szCs w:val="24"/>
        </w:rPr>
        <w:t>3.</w:t>
      </w:r>
    </w:p>
    <w:p w14:paraId="045EA2E2" w14:textId="77777777" w:rsidR="002B5C7D" w:rsidRPr="005C325D" w:rsidRDefault="002B5C7D" w:rsidP="002B5C7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D9B6968" w14:textId="0F1178DF" w:rsidR="002B5C7D" w:rsidRPr="005C325D" w:rsidRDefault="002B5C7D" w:rsidP="002B5C7D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C325D">
        <w:rPr>
          <w:rFonts w:ascii="Times New Roman" w:hAnsi="Times New Roman" w:cs="Times New Roman"/>
          <w:b/>
          <w:bCs/>
          <w:sz w:val="24"/>
          <w:szCs w:val="24"/>
        </w:rPr>
        <w:t>Figure S3. The Venn diagram of differential expressions</w:t>
      </w:r>
      <w:r w:rsidR="00B478E4">
        <w:rPr>
          <w:rFonts w:ascii="Times New Roman" w:hAnsi="Times New Roman" w:cs="Times New Roman"/>
          <w:b/>
          <w:bCs/>
          <w:sz w:val="24"/>
          <w:szCs w:val="24"/>
        </w:rPr>
        <w:t xml:space="preserve"> (A-B)</w:t>
      </w:r>
    </w:p>
    <w:p w14:paraId="0E278231" w14:textId="77777777" w:rsidR="002B5C7D" w:rsidRPr="005C325D" w:rsidRDefault="002B5C7D" w:rsidP="002B5C7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C325D">
        <w:rPr>
          <w:rFonts w:ascii="Times New Roman" w:hAnsi="Times New Roman" w:cs="Times New Roman"/>
          <w:sz w:val="24"/>
          <w:szCs w:val="24"/>
        </w:rPr>
        <w:t>The Venn diagram of the significant differential expression of mRNA between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vs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B and C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vs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D; the Venn diagram of the significant differential expression of lncRNA between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vs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B and C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vs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325D">
        <w:rPr>
          <w:rFonts w:ascii="Times New Roman" w:hAnsi="Times New Roman" w:cs="Times New Roman"/>
          <w:sz w:val="24"/>
          <w:szCs w:val="24"/>
        </w:rPr>
        <w:t>D;</w:t>
      </w:r>
    </w:p>
    <w:p w14:paraId="5B704804" w14:textId="77777777" w:rsidR="002B5C7D" w:rsidRPr="002B5C7D" w:rsidRDefault="002B5C7D"/>
    <w:sectPr w:rsidR="002B5C7D" w:rsidRPr="002B5C7D" w:rsidSect="002B5C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1AC286" w14:textId="77777777" w:rsidR="005A27D7" w:rsidRDefault="005A27D7" w:rsidP="002B5C7D">
      <w:r>
        <w:separator/>
      </w:r>
    </w:p>
  </w:endnote>
  <w:endnote w:type="continuationSeparator" w:id="0">
    <w:p w14:paraId="51A9375D" w14:textId="77777777" w:rsidR="005A27D7" w:rsidRDefault="005A27D7" w:rsidP="002B5C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C609A2" w14:textId="77777777" w:rsidR="005A27D7" w:rsidRDefault="005A27D7" w:rsidP="002B5C7D">
      <w:r>
        <w:separator/>
      </w:r>
    </w:p>
  </w:footnote>
  <w:footnote w:type="continuationSeparator" w:id="0">
    <w:p w14:paraId="79E25BDA" w14:textId="77777777" w:rsidR="005A27D7" w:rsidRDefault="005A27D7" w:rsidP="002B5C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1000809"/>
    <w:multiLevelType w:val="hybridMultilevel"/>
    <w:tmpl w:val="F3324EE4"/>
    <w:lvl w:ilvl="0" w:tplc="52B2DAC2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2A19"/>
    <w:rsid w:val="002B5C7D"/>
    <w:rsid w:val="002C17CA"/>
    <w:rsid w:val="00387201"/>
    <w:rsid w:val="004535C7"/>
    <w:rsid w:val="004B2A19"/>
    <w:rsid w:val="004B2CBF"/>
    <w:rsid w:val="005A27D7"/>
    <w:rsid w:val="00675301"/>
    <w:rsid w:val="007755FC"/>
    <w:rsid w:val="009E4880"/>
    <w:rsid w:val="00B478E4"/>
    <w:rsid w:val="00ED500B"/>
    <w:rsid w:val="00F721C2"/>
    <w:rsid w:val="00FB7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E6337E"/>
  <w15:chartTrackingRefBased/>
  <w15:docId w15:val="{13C8C043-C754-4BE3-A4F2-968F27EC9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B5C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B5C7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B5C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B5C7D"/>
    <w:rPr>
      <w:sz w:val="18"/>
      <w:szCs w:val="18"/>
    </w:rPr>
  </w:style>
  <w:style w:type="paragraph" w:styleId="a7">
    <w:name w:val="List Paragraph"/>
    <w:basedOn w:val="a"/>
    <w:uiPriority w:val="34"/>
    <w:qFormat/>
    <w:rsid w:val="002B5C7D"/>
    <w:pPr>
      <w:ind w:firstLineChars="200" w:firstLine="420"/>
    </w:pPr>
  </w:style>
  <w:style w:type="character" w:styleId="a8">
    <w:name w:val="annotation reference"/>
    <w:basedOn w:val="a0"/>
    <w:uiPriority w:val="99"/>
    <w:semiHidden/>
    <w:unhideWhenUsed/>
    <w:rsid w:val="002C17CA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C17CA"/>
    <w:rPr>
      <w:sz w:val="20"/>
      <w:szCs w:val="20"/>
    </w:rPr>
  </w:style>
  <w:style w:type="character" w:customStyle="1" w:styleId="aa">
    <w:name w:val="批注文字 字符"/>
    <w:basedOn w:val="a0"/>
    <w:link w:val="a9"/>
    <w:uiPriority w:val="99"/>
    <w:semiHidden/>
    <w:rsid w:val="002C17CA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C17CA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2C17C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152</Words>
  <Characters>868</Characters>
  <Application>Microsoft Office Word</Application>
  <DocSecurity>0</DocSecurity>
  <Lines>7</Lines>
  <Paragraphs>2</Paragraphs>
  <ScaleCrop>false</ScaleCrop>
  <Company/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吴博林</dc:creator>
  <cp:keywords/>
  <dc:description/>
  <cp:lastModifiedBy>吴博林</cp:lastModifiedBy>
  <cp:revision>7</cp:revision>
  <dcterms:created xsi:type="dcterms:W3CDTF">2021-12-15T01:51:00Z</dcterms:created>
  <dcterms:modified xsi:type="dcterms:W3CDTF">2021-12-15T02:24:00Z</dcterms:modified>
</cp:coreProperties>
</file>